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山发改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关于印发《202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山亭区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夏粮收购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联合执法工作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 xml:space="preserve">方案》的通知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区市场监督管理局、区财政局、区农业农村局：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根据枣庄市发改委《关于印发2022年全市夏粮收购监督检查实施方案的通知》（枣发改粮食〔2021〕318号）要求，为全面做好我区2022年夏粮收购工作，制定本方案。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该方案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印发给你们，请认真抓好落实。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default" w:ascii="Verdana" w:hAnsi="Verdana" w:eastAsia="仿宋_GB2312" w:cs="Verdana"/>
          <w:i w:val="0"/>
          <w:iCs w:val="0"/>
          <w:caps w:val="0"/>
          <w:color w:val="333333"/>
          <w:spacing w:val="0"/>
          <w:sz w:val="32"/>
          <w:szCs w:val="2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2021年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山亭区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夏粮收购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u w:val="none"/>
          <w:lang w:val="en-US" w:eastAsia="zh-CN" w:bidi="ar"/>
        </w:rPr>
        <w:t>联合执法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u w:val="none"/>
          <w:lang w:val="en-US" w:eastAsia="zh-CN" w:bidi="ar"/>
        </w:rPr>
        <w:t>工作方案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8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一、总体目标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粮食安全党政同责和粮食安全省长责任制要求，以宣贯新修订的《粮食流通管理条例》为契机，开展夏粮收购监督检查，突出对重点地区、重点企业、重点环节的监管。牢牢守住不发生区域性、阶段性“卖粮难”的底线。加强夏粮收购工作的组织和监管，建立部门联动和区域联动协调机制，形成监管合力，确保国家粮食收购政策执行到位，确保夏粮收购平稳有序进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二、检查对象和时间安排。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辖区内从事夏粮收购活动的各类粮食收购主体。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夏粮收购监督检查与夏粮收购同步进行，从夏粮收获上市起至9月30日结束。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三、检查比例和抽查方式。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按照“在地原则”，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对辖区内从事夏粮收购活动的各类粮食收购主体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实施全覆盖监督检查，确保监管范围、监管对象、监管内容全覆盖，实现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级监管无盲区、无死角；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粮食和物资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储备行政管理部门做好辖区夏粮收购监督检查的组织、督导工作，按照“双随机、一公开”原则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随机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抽查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，检查信息在国家企业信用信息公示系统（山东）进行公开，做到全程留痕、可追溯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四、重点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检查内容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贯彻新修订的《粮食流通管理条例》，规范粮食收购企业收购行为，落实粮食收购和维护粮食市场收购秩序监管主体责任。加强对政策性粮食收购定点环节、收购入库质量检验制度执行情况以及拖欠农民售粮款等问题的检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突出对粮食收购企业收购行为的检查。重点检查粮食收购企业是否严格执行粮食收购“五要五不准”收购守则和“一手粮，一手钱，不打白条”的规定，在粮食收购中做到现款结算;粮食收购者备案情况;政策性粮食收购企业及其租仓库点、委托收储库点是否严格落实国家粮食收购政策，采取切实措施，规范粮食收购、资金结算工作流程，防止发生任何形式的“打白条”问题:结合本地收购实际，排查是否存在挪用收购资金、“高息”骗用农民售粮款等违规违法行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突出粮食收购入库质量检验制度执行情况的检查。重点检查政策性粮食收储企业(库点)是否配齐检、化验仪器等设备、培训业务人员;粮食收购者执行质量标准情况:是否准确执行最低收购价粮食收购质量标准和质价政策，严格做好收购入库验质定等工作。以有效防止收储不符合质量要求的粮食，避免压级压价、抬级拾价等损害农民或国家利益的行为:是否采取措施加强对小麦真菌毒素等食品安全指标的检验把关，对不符合食品安全标准的粮食作为非食用用途单独储存，严防不符合食品安全标准的粮食进入国家政策性库存:是否建立健全粮食质量入库档案管理制度，如实记录每批次入库粮食质量情况;陈粮出库进行质量鉴定情况;是否完善粮食入库验收制度，严格执行国粮发〔2018〕99号文件有关最低收购价粮食验收检验和不达标粮食处置的规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三)突出对政策性粮食收购定点环节的检查。重点检查在政策性粮食收购定点过程中，是否存在违反程序、审核不严、弄虚作假等不符合定点要求的行为，排查定点企业是否存在不良信用记录、财务资金状态等，防范违规挂靠等导致管理失控危及储粮安全等问题发生。排查国家政策性粮食收储库点确定流程是否合理合规，是否存在违规租仓或委托储粮、启用未经报批和现场审核的仓房、启用存在安全隐患或已涉粮案件的企业仓房储粮等违规行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(一)加强组织领导。严格贯彻执行新修订的《粮食流通管理条例》，落实粮食安全党政同责，切实加强对夏粮收购监督检查工作的组织领导，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区发展和改革部门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主要负责同志亲自抓，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市场监管、财政农业农村部门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分管负责同志具体抓，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各单位具体工作负责人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shd w:val="clear" w:fill="FFFFFF"/>
        </w:rPr>
        <w:t>参加的夏粮收购市场监管领导小组；领导小组在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shd w:val="clear" w:fill="FFFFFF"/>
        </w:rPr>
        <w:t>发改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43434"/>
          <w:spacing w:val="0"/>
          <w:sz w:val="32"/>
          <w:szCs w:val="32"/>
          <w:shd w:val="clear" w:fill="FFFFFF"/>
        </w:rPr>
        <w:t>下设办公室，具体负责夏粮收购市场监督管理的日常工作；执法队伍在各相关部门统一抽调，联合执法。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加强监督检查。结合粮食领域专项巡查行动取得的成效，加大监督检查力度，对检查中发现的问题，不分大小一律建立整改台账，明确整改时限和责任人，督促限期整改;要建立健全收购监管追责问责机制，对因工作不力，造成较大影响的，追究有关单位和责任人的责任。对违法违规行为要依法处罚，严肃问责;情节严重的，按照有关规定及时移送纪检监察和司法机关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三)加强政策宣传。通过主流新闻媒体、微信公众号及张贴宣传海报、发放宣传页等方式，积极宣传收购政策和12325全国粮食和物资储备监管热线，将有关政策解读到位，引导企业主动遵规守纪，提高种粮农民维权意识和能力。对媒体曝光和群众举报涉粮案件，要主动发声、妥善处置，及时回应社会关切，为收购工作创造良好舆论环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)督促问题整改。坚持问题导向和底线思维，对检查中发现的问题，不分大小一律建立整改台账，明确整改责任人和整改时限，督促企业立行立改、限期整改、销号整改。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3231"/>
    <w:rsid w:val="11C3698A"/>
    <w:rsid w:val="134C1D7C"/>
    <w:rsid w:val="1868232D"/>
    <w:rsid w:val="22C721A3"/>
    <w:rsid w:val="253810E0"/>
    <w:rsid w:val="25C07F2C"/>
    <w:rsid w:val="26F62F37"/>
    <w:rsid w:val="2912357A"/>
    <w:rsid w:val="2DD95269"/>
    <w:rsid w:val="324F0439"/>
    <w:rsid w:val="42F44377"/>
    <w:rsid w:val="5ABA164B"/>
    <w:rsid w:val="5C4B2921"/>
    <w:rsid w:val="5D951136"/>
    <w:rsid w:val="6C6B0C96"/>
    <w:rsid w:val="748F3926"/>
    <w:rsid w:val="7490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2022-01-22T11:06:00Z</dcterms:created>
  <dc:creator>admin</dc:creator>
  <cp:lastModifiedBy>欣欣向荣</cp:lastModifiedBy>
  <cp:lastPrinted>2022-01-23T00:11:57Z</cp:lastPrinted>
  <dcterms:modified xsi:type="dcterms:W3CDTF">2022-01-23T00:13:20Z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10F0DCB6172E413BAFA684EB48BB3F01</vt:lpwstr>
  </property>
</Properties>
</file>